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Мониторинг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по профилактике </w:t>
      </w:r>
      <w:proofErr w:type="gramStart"/>
      <w:r w:rsidRPr="00A57627">
        <w:rPr>
          <w:rFonts w:ascii="Arial Narrow" w:hAnsi="Arial Narrow" w:cs="Times New Roman"/>
          <w:sz w:val="24"/>
          <w:szCs w:val="24"/>
        </w:rPr>
        <w:t>межнациональных</w:t>
      </w:r>
      <w:proofErr w:type="gramEnd"/>
      <w:r w:rsidRPr="00A57627">
        <w:rPr>
          <w:rFonts w:ascii="Arial Narrow" w:hAnsi="Arial Narrow" w:cs="Times New Roman"/>
          <w:sz w:val="24"/>
          <w:szCs w:val="24"/>
        </w:rPr>
        <w:t>,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межконфессиональных конфликтов в </w:t>
      </w:r>
      <w:r w:rsidRPr="00A57627">
        <w:rPr>
          <w:rFonts w:ascii="Arial Narrow" w:hAnsi="Arial Narrow" w:cs="Times New Roman"/>
          <w:sz w:val="24"/>
          <w:szCs w:val="24"/>
          <w:u w:val="single"/>
        </w:rPr>
        <w:t>Киевском сельском поселении</w:t>
      </w:r>
    </w:p>
    <w:p w:rsidR="0088467C" w:rsidRPr="00A57627" w:rsidRDefault="00E956AB" w:rsidP="0079158E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по состоянию на 05</w:t>
      </w:r>
      <w:r w:rsidR="00322C43" w:rsidRPr="00A57627">
        <w:rPr>
          <w:rFonts w:ascii="Arial Narrow" w:hAnsi="Arial Narrow" w:cs="Times New Roman"/>
          <w:sz w:val="24"/>
          <w:szCs w:val="24"/>
        </w:rPr>
        <w:t xml:space="preserve"> </w:t>
      </w:r>
      <w:r w:rsidR="00780D73" w:rsidRPr="00A57627">
        <w:rPr>
          <w:rFonts w:ascii="Arial Narrow" w:hAnsi="Arial Narrow" w:cs="Times New Roman"/>
          <w:sz w:val="24"/>
          <w:szCs w:val="24"/>
        </w:rPr>
        <w:t>июня</w:t>
      </w:r>
      <w:r w:rsidR="00416023" w:rsidRPr="00A57627">
        <w:rPr>
          <w:rFonts w:ascii="Arial Narrow" w:hAnsi="Arial Narrow" w:cs="Times New Roman"/>
          <w:sz w:val="24"/>
          <w:szCs w:val="24"/>
        </w:rPr>
        <w:t xml:space="preserve"> 2020</w:t>
      </w:r>
      <w:r w:rsidR="007D0787" w:rsidRPr="00A57627">
        <w:rPr>
          <w:rFonts w:ascii="Arial Narrow" w:hAnsi="Arial Narrow" w:cs="Times New Roman"/>
          <w:sz w:val="24"/>
          <w:szCs w:val="24"/>
        </w:rPr>
        <w:t xml:space="preserve"> года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226"/>
        <w:gridCol w:w="4785"/>
      </w:tblGrid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7D0787" w:rsidP="007A78D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№ п/</w:t>
            </w:r>
            <w:proofErr w:type="spellStart"/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785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780D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5B05A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785" w:type="dxa"/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57627">
              <w:rPr>
                <w:rFonts w:ascii="Arial Narrow" w:hAnsi="Arial Narrow" w:cs="Times New Roman"/>
                <w:sz w:val="24"/>
                <w:szCs w:val="24"/>
              </w:rPr>
              <w:t>согласованных</w:t>
            </w:r>
            <w:proofErr w:type="gramEnd"/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57627">
              <w:rPr>
                <w:rFonts w:ascii="Arial Narrow" w:hAnsi="Arial Narrow" w:cs="Times New Roman"/>
                <w:sz w:val="24"/>
                <w:szCs w:val="24"/>
              </w:rPr>
              <w:t>несогласованных</w:t>
            </w:r>
            <w:proofErr w:type="gramEnd"/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57627">
              <w:rPr>
                <w:rFonts w:ascii="Arial Narrow" w:hAnsi="Arial Narrow" w:cs="Times New Roman"/>
                <w:sz w:val="24"/>
                <w:szCs w:val="24"/>
              </w:rPr>
              <w:t>согласованных</w:t>
            </w:r>
            <w:proofErr w:type="gramEnd"/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Иные публичные мероприятия, в т</w:t>
            </w:r>
            <w:r w:rsidR="007B0EE9" w:rsidRPr="00A57627">
              <w:rPr>
                <w:rFonts w:ascii="Arial Narrow" w:hAnsi="Arial Narrow" w:cs="Times New Roman"/>
                <w:sz w:val="24"/>
                <w:szCs w:val="24"/>
              </w:rPr>
              <w:t>.ч.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785" w:type="dxa"/>
          </w:tcPr>
          <w:p w:rsidR="001D2D87" w:rsidRPr="00A57627" w:rsidRDefault="001D2D87" w:rsidP="001D2D8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1. Возложение цветов к мемориалу погибших 09.05.2020 30 чел. </w:t>
            </w: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2. Проведение акции «Георгиевская ленточка» </w:t>
            </w: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29.04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>.-09.05.2020 г.; 20 чел.</w:t>
            </w: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3. Проведение акции «Бессмертный полк»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 09.05.2020 г.; 80 чел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4. Авто-парад с атрибу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тикой посвященной Победе в ВОВ 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09.0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5.2020 г.; 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30 чел.</w:t>
            </w: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5. </w:t>
            </w:r>
            <w:r w:rsidRPr="00A57627">
              <w:rPr>
                <w:rFonts w:ascii="Arial Narrow" w:eastAsia="Times New Roman" w:hAnsi="Arial Narrow" w:cs="Times New Roman"/>
                <w:sz w:val="24"/>
                <w:szCs w:val="24"/>
              </w:rPr>
              <w:t>Акция «Окна Победы»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 09.05.2020 г.</w:t>
            </w:r>
          </w:p>
          <w:p w:rsidR="00D7096B" w:rsidRPr="00A57627" w:rsidRDefault="00D7096B" w:rsidP="00D709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C13D7" w:rsidRPr="00A57627" w:rsidRDefault="00D7096B" w:rsidP="00780D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6. </w:t>
            </w:r>
            <w:r w:rsidRPr="00A57627">
              <w:rPr>
                <w:rFonts w:ascii="Arial Narrow" w:eastAsia="Times New Roman" w:hAnsi="Arial Narrow" w:cs="Times New Roman"/>
                <w:sz w:val="24"/>
                <w:szCs w:val="24"/>
              </w:rPr>
              <w:t>Акция «Свеча Памяти»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 09.05.2020 г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3F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A57627">
              <w:rPr>
                <w:rFonts w:ascii="Arial Narrow" w:hAnsi="Arial Narrow" w:cs="Times New Roman"/>
                <w:sz w:val="24"/>
                <w:szCs w:val="24"/>
              </w:rPr>
              <w:t xml:space="preserve"> по  профилактике экстремизма (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7096B" w:rsidRPr="00A57627" w:rsidRDefault="00D7096B" w:rsidP="00D7096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1. Были проведены обследования объектов, на которых планируется проведение праздничных  мероприятий, с целью выявления недостатков в системе антитеррористической защищенности и пожарной безопасности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( </w:t>
            </w:r>
            <w:proofErr w:type="gramEnd"/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мемориал погибших в годы ВОВ, площадь возле </w:t>
            </w:r>
            <w:proofErr w:type="spellStart"/>
            <w:r w:rsidR="003F746A">
              <w:rPr>
                <w:rFonts w:ascii="Arial Narrow" w:hAnsi="Arial Narrow" w:cs="Times New Roman"/>
                <w:sz w:val="24"/>
                <w:szCs w:val="24"/>
              </w:rPr>
              <w:t>меморилла</w:t>
            </w:r>
            <w:proofErr w:type="spellEnd"/>
            <w:r w:rsidR="003F746A">
              <w:rPr>
                <w:rFonts w:ascii="Arial Narrow" w:hAnsi="Arial Narrow" w:cs="Times New Roman"/>
                <w:sz w:val="24"/>
                <w:szCs w:val="24"/>
              </w:rPr>
              <w:t>, СДК, магазины, 7.05-9.05.20, 18 чел.)</w:t>
            </w:r>
          </w:p>
          <w:p w:rsidR="00D7096B" w:rsidRPr="00B37AC3" w:rsidRDefault="00D7096B" w:rsidP="00D7096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2. Организована эвакуация от учебных заведений бесхозного автот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ранспорта, 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мусорных контейнеров, других предметов и объектов, которые могут быть использованы для закладки взрывных устройств</w:t>
            </w:r>
            <w:proofErr w:type="gramStart"/>
            <w:r w:rsidRPr="00A57627">
              <w:rPr>
                <w:rFonts w:ascii="Arial Narrow" w:hAnsi="Arial Narrow" w:cs="Times New Roman"/>
                <w:sz w:val="24"/>
                <w:szCs w:val="24"/>
              </w:rPr>
              <w:t>.</w:t>
            </w:r>
            <w:proofErr w:type="gramEnd"/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(Киевский детский сад «Тополёк», </w:t>
            </w:r>
            <w:proofErr w:type="gramStart"/>
            <w:r w:rsidR="003F746A">
              <w:rPr>
                <w:rFonts w:ascii="Arial Narrow" w:hAnsi="Arial Narrow" w:cs="Times New Roman"/>
                <w:sz w:val="24"/>
                <w:szCs w:val="24"/>
              </w:rPr>
              <w:t>Киевская</w:t>
            </w:r>
            <w:proofErr w:type="gramEnd"/>
            <w:r w:rsidR="003F746A">
              <w:rPr>
                <w:rFonts w:ascii="Arial Narrow" w:hAnsi="Arial Narrow" w:cs="Times New Roman"/>
                <w:sz w:val="24"/>
                <w:szCs w:val="24"/>
              </w:rPr>
              <w:t xml:space="preserve"> СОШ, ФАП, 8.05.20, 10 чел.)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 3 Организован  инструктаж руководства и персонала объектов, где проводятся массовые мероприятия, по порядку их действий в случае возникновения или совершения террористического акта. </w:t>
            </w:r>
            <w:proofErr w:type="gramStart"/>
            <w:r w:rsidR="003F746A" w:rsidRPr="00B37AC3">
              <w:rPr>
                <w:rFonts w:ascii="Arial Narrow" w:hAnsi="Arial Narrow" w:cs="Times New Roman"/>
                <w:sz w:val="24"/>
                <w:szCs w:val="24"/>
              </w:rPr>
              <w:t>(Киевский СДК,</w:t>
            </w:r>
            <w:r w:rsidR="00B66CFD" w:rsidRPr="00B37AC3">
              <w:rPr>
                <w:rFonts w:ascii="Arial Narrow" w:hAnsi="Arial Narrow" w:cs="Times New Roman"/>
                <w:sz w:val="24"/>
                <w:szCs w:val="24"/>
              </w:rPr>
              <w:t xml:space="preserve"> руководство объектов потребительского рынка:</w:t>
            </w:r>
            <w:proofErr w:type="gramEnd"/>
            <w:r w:rsidR="00B66CFD" w:rsidRPr="00B37AC3">
              <w:rPr>
                <w:rFonts w:ascii="Arial Narrow" w:hAnsi="Arial Narrow" w:cs="Times New Roman"/>
                <w:sz w:val="24"/>
                <w:szCs w:val="24"/>
              </w:rPr>
              <w:t xml:space="preserve"> ИН  Босенко В.</w:t>
            </w:r>
            <w:proofErr w:type="gramStart"/>
            <w:r w:rsidR="00B66CFD" w:rsidRPr="00B37AC3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gramEnd"/>
            <w:r w:rsidR="00B66CFD" w:rsidRPr="00B37AC3">
              <w:rPr>
                <w:rFonts w:ascii="Arial Narrow" w:hAnsi="Arial Narrow" w:cs="Times New Roman"/>
                <w:sz w:val="24"/>
                <w:szCs w:val="24"/>
              </w:rPr>
              <w:t xml:space="preserve"> магазин «Кристалл», И П Кучук А.В магазин «Пчёлка», ИП Ефименко В.В магазин «Чародейка», ИП Черноусова Л.А магазин «Янтарь»,  ИП Подгорная Ж.Н  магазин «Янтарь», ИП </w:t>
            </w:r>
            <w:proofErr w:type="spellStart"/>
            <w:r w:rsidR="00B66CFD" w:rsidRPr="00B37AC3">
              <w:rPr>
                <w:rFonts w:ascii="Arial Narrow" w:hAnsi="Arial Narrow" w:cs="Times New Roman"/>
                <w:sz w:val="24"/>
                <w:szCs w:val="24"/>
              </w:rPr>
              <w:t>Борисюк</w:t>
            </w:r>
            <w:proofErr w:type="spellEnd"/>
            <w:r w:rsidR="00B66CFD" w:rsidRPr="00B37AC3">
              <w:rPr>
                <w:rFonts w:ascii="Arial Narrow" w:hAnsi="Arial Narrow" w:cs="Times New Roman"/>
                <w:sz w:val="24"/>
                <w:szCs w:val="24"/>
              </w:rPr>
              <w:t xml:space="preserve"> Т.В магазин «Витамин»</w:t>
            </w:r>
            <w:r w:rsidR="00B37AC3" w:rsidRPr="00B37AC3">
              <w:rPr>
                <w:rFonts w:ascii="Arial Narrow" w:hAnsi="Arial Narrow" w:cs="Times New Roman"/>
                <w:sz w:val="24"/>
                <w:szCs w:val="24"/>
              </w:rPr>
              <w:t>, 30 чел.)</w:t>
            </w:r>
          </w:p>
          <w:p w:rsidR="00D7096B" w:rsidRPr="00A57627" w:rsidRDefault="00D7096B" w:rsidP="00D7096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4.  </w:t>
            </w:r>
            <w:proofErr w:type="gramStart"/>
            <w:r w:rsidRPr="00A57627">
              <w:rPr>
                <w:rFonts w:ascii="Arial Narrow" w:hAnsi="Arial Narrow" w:cs="Times New Roman"/>
                <w:sz w:val="24"/>
                <w:szCs w:val="24"/>
              </w:rPr>
              <w:t>Проведена разъяснительная работа</w:t>
            </w:r>
            <w:r w:rsidRPr="00A5762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с населением о необходимости повышения бдительности в указанный период через средства массовой информации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, проведены домовые обходы с раздачей памяток, а также на информационных стендах в школе, в клубе, в детском саду, в администрации, в конторе</w:t>
            </w:r>
            <w:r w:rsidRPr="00A57627">
              <w:rPr>
                <w:rFonts w:ascii="Arial Narrow" w:eastAsia="Times New Roman" w:hAnsi="Arial Narrow" w:cs="Times New Roman"/>
                <w:bCs/>
                <w:kern w:val="36"/>
                <w:sz w:val="24"/>
                <w:szCs w:val="24"/>
              </w:rPr>
              <w:t xml:space="preserve"> размещены памятки о мерах антитеррористической безопасности в период подготовки и проведении праздничных мероприятий, посвященных Дню Победы в Великой Отечественной войне.</w:t>
            </w:r>
            <w:proofErr w:type="gramEnd"/>
          </w:p>
          <w:p w:rsidR="00D7096B" w:rsidRPr="00A57627" w:rsidRDefault="00D7096B" w:rsidP="00D7096B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Обратили особое внимание на доведение до них сведений о способах оповещения населения при возникновении угрозы совершения теракта, правилах поведения граждан в случае обнаружения бесхозных вещей, признаках подозрительного поведения отдельных лиц</w:t>
            </w:r>
            <w:proofErr w:type="gramStart"/>
            <w:r w:rsidRPr="00A57627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B37AC3">
              <w:rPr>
                <w:rFonts w:ascii="Arial Narrow" w:hAnsi="Arial Narrow" w:cs="Times New Roman"/>
                <w:sz w:val="24"/>
                <w:szCs w:val="24"/>
              </w:rPr>
              <w:t>(</w:t>
            </w:r>
            <w:proofErr w:type="gramEnd"/>
            <w:r w:rsidR="00B37AC3">
              <w:rPr>
                <w:rFonts w:ascii="Arial Narrow" w:hAnsi="Arial Narrow" w:cs="Times New Roman"/>
                <w:sz w:val="24"/>
                <w:szCs w:val="24"/>
              </w:rPr>
              <w:t>подворовые обходы по ул. Ленинской, 50 домовладений)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5. Обеспечена охрана мест проведения запланированных культурно-массовых праздничных мероприятий. </w:t>
            </w:r>
          </w:p>
          <w:p w:rsidR="00D7096B" w:rsidRPr="00A57627" w:rsidRDefault="00D7096B" w:rsidP="00D7096B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6. Организованы патрули участковым уполномоченным полиции МО МВД России «Ремонтненский с дополнительным привлечением сил ДНД, казачьей дружины, других общественных формирований к обеспечению порядка; провели с ними инструктаж, определили график дежурства на территории села.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br/>
              <w:t xml:space="preserve">Усилили </w:t>
            </w:r>
            <w:proofErr w:type="gramStart"/>
            <w:r w:rsidRPr="00A57627">
              <w:rPr>
                <w:rFonts w:ascii="Arial Narrow" w:hAnsi="Arial Narrow" w:cs="Times New Roman"/>
                <w:sz w:val="24"/>
                <w:szCs w:val="24"/>
              </w:rPr>
              <w:t>контроль за</w:t>
            </w:r>
            <w:proofErr w:type="gramEnd"/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состоянием охраны важных объектов ФАП, школы, детского сада, СДК.</w:t>
            </w:r>
            <w:r w:rsidR="00553C1E">
              <w:rPr>
                <w:rFonts w:ascii="Arial Narrow" w:hAnsi="Arial Narrow" w:cs="Times New Roman"/>
                <w:sz w:val="24"/>
                <w:szCs w:val="24"/>
              </w:rPr>
              <w:t>(28</w:t>
            </w:r>
            <w:r w:rsidR="00B37AC3">
              <w:rPr>
                <w:rFonts w:ascii="Arial Narrow" w:hAnsi="Arial Narrow" w:cs="Times New Roman"/>
                <w:sz w:val="24"/>
                <w:szCs w:val="24"/>
              </w:rPr>
              <w:t xml:space="preserve"> чел)</w:t>
            </w:r>
          </w:p>
          <w:p w:rsidR="00D7096B" w:rsidRPr="00A57627" w:rsidRDefault="00D7096B" w:rsidP="00D7096B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4"/>
                <w:szCs w:val="24"/>
              </w:rPr>
            </w:pPr>
            <w:r w:rsidRPr="00A57627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 7. Руководители всех организаций села провели в трудовых коллективах разъяснительные беседы о необходимости повышения бдительности, о правилах поведения граждан в случае обнаружения бесхозных вещей, признаках подозрительного поведения отдельных лиц. Организовали в праздничные дни дежурства.</w:t>
            </w:r>
          </w:p>
          <w:p w:rsidR="00AD07D0" w:rsidRPr="00A57627" w:rsidRDefault="00D7096B" w:rsidP="00D7096B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4"/>
                <w:szCs w:val="24"/>
              </w:rPr>
            </w:pPr>
            <w:r w:rsidRPr="00A5762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8. </w:t>
            </w:r>
            <w:proofErr w:type="gramStart"/>
            <w:r w:rsidRPr="00A57627">
              <w:rPr>
                <w:rFonts w:ascii="Arial Narrow" w:eastAsia="Times New Roman" w:hAnsi="Arial Narrow" w:cs="Times New Roman"/>
                <w:sz w:val="24"/>
                <w:szCs w:val="24"/>
              </w:rPr>
              <w:t>В период проведения праздничных мероприятий было организовано дежурство ответственных должностных лиц, обеспечив их устойчивой связью соответствующими инструкциями на случай чрезвычайных ситуаций.</w:t>
            </w:r>
            <w:r w:rsidR="00553C1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gramEnd"/>
            <w:r w:rsidR="00553C1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(Киевский СДК, Киевский детский сад «Тополёк», </w:t>
            </w:r>
            <w:proofErr w:type="gramStart"/>
            <w:r w:rsidR="00553C1E">
              <w:rPr>
                <w:rFonts w:ascii="Arial Narrow" w:eastAsia="Times New Roman" w:hAnsi="Arial Narrow" w:cs="Times New Roman"/>
                <w:sz w:val="24"/>
                <w:szCs w:val="24"/>
              </w:rPr>
              <w:t>Киевская</w:t>
            </w:r>
            <w:proofErr w:type="gramEnd"/>
            <w:r w:rsidR="00553C1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«СОШ», Администрация Киевского сельского поселения, 35 чел)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785" w:type="dxa"/>
          </w:tcPr>
          <w:p w:rsidR="00216E73" w:rsidRPr="00A57627" w:rsidRDefault="0013267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Постановление № 91 от </w:t>
            </w:r>
            <w:r w:rsidR="00216E73" w:rsidRPr="00A57627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8.10.2018</w:t>
            </w:r>
            <w:r w:rsidR="00216E73" w:rsidRPr="00A57627">
              <w:rPr>
                <w:rFonts w:ascii="Arial Narrow" w:hAnsi="Arial Narrow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A57627" w:rsidRDefault="00216E73" w:rsidP="0013267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13267E" w:rsidRPr="00A57627">
              <w:rPr>
                <w:rFonts w:ascii="Arial Narrow" w:hAnsi="Arial Narrow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85" w:type="dxa"/>
          </w:tcPr>
          <w:p w:rsidR="00E07F4C" w:rsidRPr="00A57627" w:rsidRDefault="001374B1" w:rsidP="001374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 xml:space="preserve">№ 1                          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>05.05.2020 г.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ab/>
            </w:r>
            <w:r w:rsidR="00D92015">
              <w:rPr>
                <w:rFonts w:ascii="Arial Narrow" w:hAnsi="Arial Narrow"/>
                <w:sz w:val="24"/>
                <w:szCs w:val="24"/>
              </w:rPr>
              <w:t>12 чел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</w:p>
          <w:p w:rsidR="001374B1" w:rsidRPr="00A57627" w:rsidRDefault="001374B1" w:rsidP="001374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>1.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 xml:space="preserve">О ситуации по распространению </w:t>
            </w:r>
            <w:proofErr w:type="spellStart"/>
            <w:r w:rsidR="00E07F4C" w:rsidRPr="00A57627">
              <w:rPr>
                <w:rFonts w:ascii="Arial Narrow" w:hAnsi="Arial Narrow"/>
                <w:sz w:val="24"/>
                <w:szCs w:val="24"/>
              </w:rPr>
              <w:t>коронавирусной</w:t>
            </w:r>
            <w:proofErr w:type="spellEnd"/>
            <w:r w:rsidR="00E07F4C" w:rsidRPr="00A57627">
              <w:rPr>
                <w:rFonts w:ascii="Arial Narrow" w:hAnsi="Arial Narrow"/>
                <w:sz w:val="24"/>
                <w:szCs w:val="24"/>
              </w:rPr>
              <w:t xml:space="preserve"> инфекции на территории Ростовской области, республики Дагестан, Чечне, а также на территориях районов, граничащих с Киевским сельским поселением и </w:t>
            </w:r>
            <w:proofErr w:type="spellStart"/>
            <w:r w:rsidR="00E07F4C" w:rsidRPr="00A57627">
              <w:rPr>
                <w:rFonts w:ascii="Arial Narrow" w:hAnsi="Arial Narrow"/>
                <w:sz w:val="24"/>
                <w:szCs w:val="24"/>
              </w:rPr>
              <w:t>Ремонтненским</w:t>
            </w:r>
            <w:proofErr w:type="spellEnd"/>
            <w:r w:rsidR="00E07F4C" w:rsidRPr="00A57627">
              <w:rPr>
                <w:rFonts w:ascii="Arial Narrow" w:hAnsi="Arial Narrow"/>
                <w:sz w:val="24"/>
                <w:szCs w:val="24"/>
              </w:rPr>
              <w:t xml:space="preserve"> районом в целом. (Глава Администрации Киевского сельского поселения – Головченко Г.Г.)</w:t>
            </w:r>
          </w:p>
          <w:p w:rsidR="001374B1" w:rsidRPr="00A57627" w:rsidRDefault="001374B1" w:rsidP="001374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>Решение:</w:t>
            </w:r>
          </w:p>
          <w:p w:rsidR="001374B1" w:rsidRPr="00A57627" w:rsidRDefault="001374B1" w:rsidP="001374B1">
            <w:pPr>
              <w:pStyle w:val="a3"/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</w:pPr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1.</w:t>
            </w:r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Информацию принять к сведению.</w:t>
            </w:r>
          </w:p>
          <w:p w:rsidR="00E07F4C" w:rsidRPr="00A57627" w:rsidRDefault="001374B1" w:rsidP="001374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2</w:t>
            </w:r>
            <w:r w:rsidRPr="00A57627">
              <w:rPr>
                <w:rFonts w:ascii="Arial Narrow" w:hAnsi="Arial Narrow"/>
                <w:sz w:val="24"/>
                <w:szCs w:val="24"/>
              </w:rPr>
              <w:t>.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>Представителям даргинской (Алиев Х.С.) и аварской (Рамазанов М.Г.) диаспор в кратчайшие сроки провести беседы среди граждан даргинской и аварской национальностей о прекращении перемещения за пределы поселения и района, без необходимости.</w:t>
            </w:r>
            <w:proofErr w:type="gramEnd"/>
          </w:p>
          <w:p w:rsidR="001374B1" w:rsidRPr="00A57627" w:rsidRDefault="001374B1" w:rsidP="001374B1">
            <w:pPr>
              <w:spacing w:line="0" w:lineRule="atLeast"/>
              <w:outlineLvl w:val="0"/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>3.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 xml:space="preserve">В случае приезда родственников и знакомых из других регионов РФ, а также районов Ростовской области, проинформировать об этом в течение 2-х часов Администрацию Киевского сельского поселения. </w:t>
            </w:r>
          </w:p>
          <w:p w:rsidR="00E07F4C" w:rsidRPr="00A57627" w:rsidRDefault="001374B1" w:rsidP="001374B1">
            <w:pPr>
              <w:spacing w:line="0" w:lineRule="atLeast"/>
              <w:outlineLvl w:val="0"/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</w:pPr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4. </w:t>
            </w:r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УУП  МО МВД РФ «Ремонтненский» Киевского сельского поселения (Лобачев А.С.), заведующим </w:t>
            </w:r>
            <w:proofErr w:type="spellStart"/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ФАПами</w:t>
            </w:r>
            <w:proofErr w:type="spellEnd"/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 с. Киевка и х. Раздольный (Валиева Г.С., </w:t>
            </w:r>
            <w:proofErr w:type="gramStart"/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Журавлева Н.</w:t>
            </w:r>
            <w:proofErr w:type="gramEnd"/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Н), старшему инспектору по вопросам ЖКХ (Мельникова Е.В.) активизировать информационную работу среди населения о необходимости соблюдения режима самоизоляции, а также при появлении признаков инфекционных заболеваний оставаться дома (по месту пребывания) и незамедлительного обращения за медицинской помощью.</w:t>
            </w:r>
          </w:p>
          <w:p w:rsidR="00E07F4C" w:rsidRPr="00A57627" w:rsidRDefault="001374B1" w:rsidP="001374B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5.</w:t>
            </w:r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Старшему инспектору по вопросам ЖКХ 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>Администрации Киевского сельского поселения</w:t>
            </w:r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 </w:t>
            </w:r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lastRenderedPageBreak/>
              <w:t>(Мельникова Е.В.) п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>овторно, в срок до 08.05.2020 проинформировать рабочие коллективы, находящихся на территории поселения организаций, по</w:t>
            </w:r>
            <w:r w:rsidR="00E07F4C"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 </w:t>
            </w:r>
            <w:r w:rsidR="00E07F4C" w:rsidRPr="00A57627">
              <w:rPr>
                <w:rFonts w:ascii="Arial Narrow" w:hAnsi="Arial Narrow"/>
                <w:sz w:val="24"/>
                <w:szCs w:val="24"/>
              </w:rPr>
              <w:t xml:space="preserve">обеспечению соблюдения мер, направленных на предупреждение распространения новой </w:t>
            </w:r>
            <w:proofErr w:type="spellStart"/>
            <w:r w:rsidR="00E07F4C" w:rsidRPr="00A57627">
              <w:rPr>
                <w:rFonts w:ascii="Arial Narrow" w:hAnsi="Arial Narrow"/>
                <w:sz w:val="24"/>
                <w:szCs w:val="24"/>
              </w:rPr>
              <w:t>коронавирусной</w:t>
            </w:r>
            <w:proofErr w:type="spellEnd"/>
            <w:r w:rsidR="00E07F4C" w:rsidRPr="00A57627">
              <w:rPr>
                <w:rFonts w:ascii="Arial Narrow" w:hAnsi="Arial Narrow"/>
                <w:sz w:val="24"/>
                <w:szCs w:val="24"/>
              </w:rPr>
              <w:t xml:space="preserve"> инфекции,</w:t>
            </w:r>
          </w:p>
          <w:p w:rsidR="000963D8" w:rsidRPr="00A57627" w:rsidRDefault="000963D8" w:rsidP="000963D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>6. Волонтерам (Атаманенко Д.П.) при необходимости оказывать содействие в социальной помощи лицам, находящимся в самоизоляции.</w:t>
            </w:r>
          </w:p>
          <w:p w:rsidR="00CC4F36" w:rsidRPr="00A57627" w:rsidRDefault="000963D8" w:rsidP="000963D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>7. ХКО «Киевка» (Гусаков А.Г.) и ДНД Киевского сельского поселения (Головченко И.Г.) активизировать патрулирование территории поселения с 22.00 до 00.00, с целью выявления нахождения молодежи на территории сел</w:t>
            </w:r>
          </w:p>
          <w:p w:rsidR="00CC4F36" w:rsidRPr="00A57627" w:rsidRDefault="00CC4F36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 xml:space="preserve">    № 2    20.05.2020 г.      10 чел</w:t>
            </w:r>
          </w:p>
          <w:p w:rsidR="00CC4F36" w:rsidRPr="00A57627" w:rsidRDefault="00CC4F36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 xml:space="preserve">О ситуации по распространению </w:t>
            </w:r>
            <w:proofErr w:type="spellStart"/>
            <w:r w:rsidRPr="00A57627">
              <w:rPr>
                <w:rFonts w:ascii="Arial Narrow" w:hAnsi="Arial Narrow"/>
                <w:sz w:val="24"/>
                <w:szCs w:val="24"/>
              </w:rPr>
              <w:t>коронавирусной</w:t>
            </w:r>
            <w:proofErr w:type="spellEnd"/>
            <w:r w:rsidRPr="00A57627">
              <w:rPr>
                <w:rFonts w:ascii="Arial Narrow" w:hAnsi="Arial Narrow"/>
                <w:sz w:val="24"/>
                <w:szCs w:val="24"/>
              </w:rPr>
              <w:t xml:space="preserve"> инфекции на территории Ростовской области, республики Дагестан, Чечне, а также на территориях районов, граничащих с Киевским сельским поселением и </w:t>
            </w:r>
            <w:proofErr w:type="spellStart"/>
            <w:r w:rsidRPr="00A57627">
              <w:rPr>
                <w:rFonts w:ascii="Arial Narrow" w:hAnsi="Arial Narrow"/>
                <w:sz w:val="24"/>
                <w:szCs w:val="24"/>
              </w:rPr>
              <w:t>Ремонтненским</w:t>
            </w:r>
            <w:proofErr w:type="spellEnd"/>
            <w:r w:rsidRPr="00A57627">
              <w:rPr>
                <w:rFonts w:ascii="Arial Narrow" w:hAnsi="Arial Narrow"/>
                <w:sz w:val="24"/>
                <w:szCs w:val="24"/>
              </w:rPr>
              <w:t xml:space="preserve"> районом в целом. (Глава Администрации Киевского сельского поселения – Головченко Г.Г.) по состоянию на 20.05.2020.</w:t>
            </w:r>
          </w:p>
          <w:p w:rsidR="00CC4F36" w:rsidRPr="00A57627" w:rsidRDefault="00CC4F36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 xml:space="preserve">Празднование праздника Ураза – Байрам </w:t>
            </w:r>
          </w:p>
          <w:p w:rsidR="00CC4F36" w:rsidRPr="00A57627" w:rsidRDefault="00CC4F36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>23.05. – 24.05.2020</w:t>
            </w:r>
          </w:p>
          <w:p w:rsidR="00CC4F36" w:rsidRPr="00A57627" w:rsidRDefault="00CC4F36" w:rsidP="00CC4F36">
            <w:pPr>
              <w:pStyle w:val="aa"/>
              <w:spacing w:before="300" w:line="0" w:lineRule="atLeast"/>
              <w:ind w:left="0"/>
              <w:outlineLvl w:val="0"/>
              <w:rPr>
                <w:rFonts w:ascii="Arial Narrow" w:eastAsia="Times New Roman" w:hAnsi="Arial Narrow" w:cs="Arial"/>
                <w:color w:val="262626"/>
                <w:kern w:val="36"/>
                <w:lang w:eastAsia="ru-RU"/>
              </w:rPr>
            </w:pPr>
            <w:r w:rsidRPr="00A57627">
              <w:rPr>
                <w:rFonts w:ascii="Arial Narrow" w:hAnsi="Arial Narrow"/>
                <w:b/>
              </w:rPr>
              <w:t>РЕШИЛИ:</w:t>
            </w:r>
            <w:r w:rsidRPr="00A57627">
              <w:rPr>
                <w:rFonts w:ascii="Arial Narrow" w:eastAsia="Times New Roman" w:hAnsi="Arial Narrow" w:cs="Arial"/>
                <w:color w:val="262626"/>
                <w:kern w:val="36"/>
                <w:lang w:eastAsia="ru-RU"/>
              </w:rPr>
              <w:t xml:space="preserve"> </w:t>
            </w:r>
          </w:p>
          <w:p w:rsidR="00CC4F36" w:rsidRPr="00A57627" w:rsidRDefault="00CC4F36" w:rsidP="00CC4F36">
            <w:pPr>
              <w:spacing w:before="300" w:line="0" w:lineRule="atLeast"/>
              <w:outlineLvl w:val="0"/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</w:pPr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1.Информацию принять к сведению.</w:t>
            </w:r>
          </w:p>
          <w:p w:rsidR="00CC4F36" w:rsidRPr="00A57627" w:rsidRDefault="00CC4F36" w:rsidP="00CC4F36">
            <w:pPr>
              <w:spacing w:before="300" w:line="0" w:lineRule="atLeast"/>
              <w:outlineLvl w:val="0"/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</w:pPr>
            <w:proofErr w:type="gramStart"/>
            <w:r w:rsidRPr="00A57627">
              <w:rPr>
                <w:rFonts w:ascii="Arial Narrow" w:hAnsi="Arial Narrow"/>
                <w:sz w:val="24"/>
                <w:szCs w:val="24"/>
              </w:rPr>
              <w:t xml:space="preserve">2.В связи со сложившейся ситуацией в стране, Ростовской области, представителям даргинской (Алиев Х.С.) и аварской (Рамазанов М.Г.) диаспор обеспечить информирование граждан даргинской и аварской национальностей и неукоснительного соблюдения мер изоляции во время празднования праздника Ураза – Байрам, воздержаться от поездок в гости как в поселении, так и за его пределами, </w:t>
            </w:r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отказаться от коллективных молитв и традиции собираться вместе</w:t>
            </w:r>
            <w:proofErr w:type="gramEnd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 </w:t>
            </w:r>
            <w:proofErr w:type="gramStart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с друзьями и родственниками большими компаниями, а также напомнить об административной ответственности за нарушение законодательства в области обеспечения санитарно – эпидемиологического благополучия населения при возникновении угрозы распространения заболевания, представляющего опасность для окружающих, в период осуществления на соответствующей  территории ограничительных мероприятий (карантина), а также об уголовной ответственности за нарушение санитарно – эпидемиологических правил, создавшее угрозу массового заболевания.</w:t>
            </w:r>
            <w:proofErr w:type="gramEnd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 </w:t>
            </w:r>
            <w:r w:rsidRPr="00A57627">
              <w:rPr>
                <w:rFonts w:ascii="Arial Narrow" w:hAnsi="Arial Narrow"/>
                <w:sz w:val="24"/>
                <w:szCs w:val="24"/>
              </w:rPr>
              <w:t xml:space="preserve">Повторно, довести до граждан кавказской национальности, проживающих на территории поселения, о соблюдении масочного режима, особенно в </w:t>
            </w:r>
            <w:r w:rsidRPr="00A57627">
              <w:rPr>
                <w:rFonts w:ascii="Arial Narrow" w:hAnsi="Arial Narrow"/>
                <w:sz w:val="24"/>
                <w:szCs w:val="24"/>
              </w:rPr>
              <w:lastRenderedPageBreak/>
              <w:t>общественных местах.</w:t>
            </w:r>
          </w:p>
          <w:p w:rsidR="00CC4F36" w:rsidRPr="00A57627" w:rsidRDefault="00CC4F36" w:rsidP="00CC4F36">
            <w:pPr>
              <w:spacing w:before="300" w:line="0" w:lineRule="atLeast"/>
              <w:outlineLvl w:val="0"/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</w:pPr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3. УУП МО МВД РФ «Ремонтненский» Киевского сельского поселения (Лобачев А.С.), заведующим </w:t>
            </w:r>
            <w:proofErr w:type="spellStart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ФАПами</w:t>
            </w:r>
            <w:proofErr w:type="spellEnd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 xml:space="preserve"> с. Киевка и х. Раздольный (Валиева Г.С., </w:t>
            </w:r>
            <w:proofErr w:type="gramStart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Журавлева Н.</w:t>
            </w:r>
            <w:proofErr w:type="gramEnd"/>
            <w:r w:rsidRPr="00A57627">
              <w:rPr>
                <w:rFonts w:ascii="Arial Narrow" w:eastAsia="Times New Roman" w:hAnsi="Arial Narrow"/>
                <w:color w:val="262626"/>
                <w:kern w:val="36"/>
                <w:sz w:val="24"/>
                <w:szCs w:val="24"/>
              </w:rPr>
              <w:t>Н.), старшему инспектору по вопросам ЖКХ (Мельникова Е.В.) активизировать информационную работу среди населения о необходимости соблюдения масочного режима и режима самоизоляции населения.</w:t>
            </w:r>
          </w:p>
          <w:p w:rsidR="00CC4F36" w:rsidRPr="00A57627" w:rsidRDefault="00CC4F36" w:rsidP="00CC4F3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>4. ХКО «Киевка» (Гусаков А.Г.) и ДНД Киевского сельского поселения (Головченко И.Г.) во время патрулирования территории поселения с 22.00 до 00.00, обращать внимание на нахождение молодежи, без масок, на территории с. Киевка и х. Раздольный.</w:t>
            </w:r>
          </w:p>
          <w:p w:rsidR="00CD0BF5" w:rsidRPr="00A57627" w:rsidRDefault="00CC4F36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A5762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785" w:type="dxa"/>
          </w:tcPr>
          <w:p w:rsidR="00BF6B82" w:rsidRPr="00A57627" w:rsidRDefault="0087344F" w:rsidP="00BF6B8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BF6B82" w:rsidRPr="00A57627" w:rsidRDefault="00BF6B82" w:rsidP="00BF6B82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785" w:type="dxa"/>
          </w:tcPr>
          <w:p w:rsidR="00C15E1D" w:rsidRPr="00A57627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Русские – 5 чел.,</w:t>
            </w:r>
          </w:p>
          <w:p w:rsidR="00C15E1D" w:rsidRPr="00A57627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C15E1D" w:rsidRPr="00A57627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D0787" w:rsidRPr="00A57627" w:rsidRDefault="007D0787" w:rsidP="00BF6B82">
      <w:pPr>
        <w:pStyle w:val="a3"/>
        <w:rPr>
          <w:rFonts w:ascii="Arial Narrow" w:hAnsi="Arial Narrow" w:cs="Times New Roman"/>
          <w:sz w:val="24"/>
          <w:szCs w:val="24"/>
        </w:rPr>
      </w:pPr>
    </w:p>
    <w:sectPr w:rsidR="007D0787" w:rsidRPr="00A5762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963D8"/>
    <w:rsid w:val="000A2695"/>
    <w:rsid w:val="000A3B31"/>
    <w:rsid w:val="000E7EF8"/>
    <w:rsid w:val="001121F8"/>
    <w:rsid w:val="0013267E"/>
    <w:rsid w:val="001354C9"/>
    <w:rsid w:val="001374B1"/>
    <w:rsid w:val="00145C54"/>
    <w:rsid w:val="001D2D87"/>
    <w:rsid w:val="00216E73"/>
    <w:rsid w:val="00217ECA"/>
    <w:rsid w:val="0024008F"/>
    <w:rsid w:val="002454CE"/>
    <w:rsid w:val="002C13D7"/>
    <w:rsid w:val="00322C43"/>
    <w:rsid w:val="00382854"/>
    <w:rsid w:val="00382CEA"/>
    <w:rsid w:val="003936BC"/>
    <w:rsid w:val="003F246C"/>
    <w:rsid w:val="003F746A"/>
    <w:rsid w:val="00416023"/>
    <w:rsid w:val="004346AB"/>
    <w:rsid w:val="0045166A"/>
    <w:rsid w:val="004C04F5"/>
    <w:rsid w:val="004E46A0"/>
    <w:rsid w:val="004F07FF"/>
    <w:rsid w:val="00542418"/>
    <w:rsid w:val="00553C1E"/>
    <w:rsid w:val="005543E9"/>
    <w:rsid w:val="00587292"/>
    <w:rsid w:val="005B05AE"/>
    <w:rsid w:val="005C37EB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72C95"/>
    <w:rsid w:val="00780D73"/>
    <w:rsid w:val="0079158B"/>
    <w:rsid w:val="0079158E"/>
    <w:rsid w:val="007A2543"/>
    <w:rsid w:val="007A78D0"/>
    <w:rsid w:val="007B0EE9"/>
    <w:rsid w:val="007D0787"/>
    <w:rsid w:val="0083698C"/>
    <w:rsid w:val="00847372"/>
    <w:rsid w:val="0087344F"/>
    <w:rsid w:val="0088467C"/>
    <w:rsid w:val="008F08BB"/>
    <w:rsid w:val="00924B1C"/>
    <w:rsid w:val="00933337"/>
    <w:rsid w:val="009A3E6D"/>
    <w:rsid w:val="009B1506"/>
    <w:rsid w:val="009F1BD7"/>
    <w:rsid w:val="00A57627"/>
    <w:rsid w:val="00A6514D"/>
    <w:rsid w:val="00AD07D0"/>
    <w:rsid w:val="00AE5DFB"/>
    <w:rsid w:val="00AE7463"/>
    <w:rsid w:val="00B27F45"/>
    <w:rsid w:val="00B37AC3"/>
    <w:rsid w:val="00B455EB"/>
    <w:rsid w:val="00B66CFD"/>
    <w:rsid w:val="00B85FB0"/>
    <w:rsid w:val="00B930EE"/>
    <w:rsid w:val="00BA6300"/>
    <w:rsid w:val="00BD6350"/>
    <w:rsid w:val="00BF6002"/>
    <w:rsid w:val="00BF6B82"/>
    <w:rsid w:val="00C01ECE"/>
    <w:rsid w:val="00C15E1D"/>
    <w:rsid w:val="00C95897"/>
    <w:rsid w:val="00C958EA"/>
    <w:rsid w:val="00CC4F36"/>
    <w:rsid w:val="00CD0BF5"/>
    <w:rsid w:val="00CD63A4"/>
    <w:rsid w:val="00CE78B9"/>
    <w:rsid w:val="00CF3404"/>
    <w:rsid w:val="00CF6E83"/>
    <w:rsid w:val="00D7096B"/>
    <w:rsid w:val="00D92015"/>
    <w:rsid w:val="00DB72CE"/>
    <w:rsid w:val="00E07F4C"/>
    <w:rsid w:val="00E778C0"/>
    <w:rsid w:val="00E77B38"/>
    <w:rsid w:val="00E8164C"/>
    <w:rsid w:val="00E94122"/>
    <w:rsid w:val="00E956AB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15E1D"/>
  </w:style>
  <w:style w:type="paragraph" w:styleId="aa">
    <w:name w:val="List Paragraph"/>
    <w:basedOn w:val="a"/>
    <w:uiPriority w:val="34"/>
    <w:qFormat/>
    <w:rsid w:val="00E07F4C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dcterms:created xsi:type="dcterms:W3CDTF">2018-05-31T12:17:00Z</dcterms:created>
  <dcterms:modified xsi:type="dcterms:W3CDTF">2020-05-28T06:55:00Z</dcterms:modified>
</cp:coreProperties>
</file>